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5127C" w14:textId="77777777" w:rsidR="00994F87" w:rsidRPr="008168CC" w:rsidRDefault="004D1479" w:rsidP="00994F87">
      <w:pPr>
        <w:pStyle w:val="BodyText"/>
        <w:spacing w:line="480" w:lineRule="auto"/>
        <w:jc w:val="center"/>
        <w:rPr>
          <w:rFonts w:ascii="Cambria" w:hAnsi="Cambria"/>
          <w:b/>
          <w:sz w:val="21"/>
          <w:szCs w:val="21"/>
        </w:rPr>
      </w:pPr>
      <w:r w:rsidRPr="000867B8">
        <w:rPr>
          <w:rFonts w:ascii="Cambria" w:hAnsi="Cambria"/>
          <w:b/>
          <w:sz w:val="21"/>
          <w:szCs w:val="21"/>
        </w:rPr>
        <w:t xml:space="preserve">Whole </w:t>
      </w:r>
      <w:r w:rsidRPr="008168CC">
        <w:rPr>
          <w:rFonts w:ascii="Cambria" w:hAnsi="Cambria"/>
          <w:b/>
          <w:sz w:val="21"/>
          <w:szCs w:val="21"/>
        </w:rPr>
        <w:t>lesson plan</w:t>
      </w:r>
      <w:r w:rsidR="00994F87" w:rsidRPr="008168CC">
        <w:rPr>
          <w:rFonts w:ascii="Cambria" w:hAnsi="Cambria"/>
          <w:b/>
          <w:sz w:val="21"/>
          <w:szCs w:val="21"/>
        </w:rPr>
        <w:t xml:space="preserve"> (NUMERACY)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826"/>
        <w:gridCol w:w="4762"/>
        <w:gridCol w:w="507"/>
        <w:gridCol w:w="4255"/>
      </w:tblGrid>
      <w:tr w:rsidR="00994F87" w:rsidRPr="008168CC" w14:paraId="5703E31E" w14:textId="77777777" w:rsidTr="004D1479">
        <w:tc>
          <w:tcPr>
            <w:tcW w:w="4762" w:type="dxa"/>
            <w:gridSpan w:val="2"/>
          </w:tcPr>
          <w:p w14:paraId="73031428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sz w:val="21"/>
                <w:szCs w:val="21"/>
                <w:lang w:val="en-AU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  <w:lang w:val="en-AU"/>
              </w:rPr>
              <w:t xml:space="preserve">Name of the School: </w:t>
            </w:r>
            <w:r w:rsidRPr="008168CC">
              <w:rPr>
                <w:rFonts w:ascii="Cambria" w:hAnsi="Cambria"/>
                <w:sz w:val="21"/>
                <w:szCs w:val="21"/>
                <w:lang w:val="en-AU"/>
              </w:rPr>
              <w:t>Glenwood Public School</w:t>
            </w:r>
          </w:p>
        </w:tc>
        <w:tc>
          <w:tcPr>
            <w:tcW w:w="4762" w:type="dxa"/>
          </w:tcPr>
          <w:p w14:paraId="58293F10" w14:textId="77777777" w:rsidR="00994F87" w:rsidRPr="008168CC" w:rsidRDefault="00994F87" w:rsidP="004D1479">
            <w:pPr>
              <w:pStyle w:val="BodyText"/>
              <w:spacing w:before="120" w:line="480" w:lineRule="auto"/>
              <w:rPr>
                <w:rFonts w:ascii="Cambria" w:hAnsi="Cambria"/>
                <w:b/>
                <w:sz w:val="21"/>
                <w:szCs w:val="21"/>
                <w:lang w:val="en-AU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  <w:lang w:val="en-AU"/>
              </w:rPr>
              <w:t xml:space="preserve">Name of the Teacher Education Student: </w:t>
            </w:r>
          </w:p>
          <w:p w14:paraId="41651E75" w14:textId="77777777" w:rsidR="00994F87" w:rsidRPr="008168CC" w:rsidRDefault="00994F87" w:rsidP="004D1479">
            <w:pPr>
              <w:pStyle w:val="BodyText"/>
              <w:spacing w:before="120" w:line="480" w:lineRule="auto"/>
              <w:rPr>
                <w:rFonts w:ascii="Cambria" w:hAnsi="Cambria"/>
                <w:sz w:val="21"/>
                <w:szCs w:val="21"/>
                <w:lang w:val="en-AU"/>
              </w:rPr>
            </w:pPr>
            <w:r w:rsidRPr="008168CC">
              <w:rPr>
                <w:rFonts w:ascii="Cambria" w:hAnsi="Cambria"/>
                <w:sz w:val="21"/>
                <w:szCs w:val="21"/>
                <w:lang w:val="en-AU"/>
              </w:rPr>
              <w:t>Vincent Dang</w:t>
            </w:r>
          </w:p>
        </w:tc>
        <w:tc>
          <w:tcPr>
            <w:tcW w:w="4762" w:type="dxa"/>
            <w:gridSpan w:val="2"/>
          </w:tcPr>
          <w:p w14:paraId="5F4E3995" w14:textId="77777777" w:rsidR="00994F87" w:rsidRPr="008168CC" w:rsidRDefault="00994F87" w:rsidP="004D1479">
            <w:pPr>
              <w:pStyle w:val="BodyText"/>
              <w:spacing w:before="120" w:line="360" w:lineRule="auto"/>
              <w:rPr>
                <w:rFonts w:ascii="Cambria" w:hAnsi="Cambria"/>
                <w:sz w:val="21"/>
                <w:szCs w:val="21"/>
                <w:lang w:val="en-AU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  <w:lang w:val="en-AU"/>
              </w:rPr>
              <w:t xml:space="preserve">Name of the Mentor: </w:t>
            </w:r>
            <w:r w:rsidRPr="008168CC">
              <w:rPr>
                <w:rFonts w:ascii="Cambria" w:hAnsi="Cambria"/>
                <w:sz w:val="21"/>
                <w:szCs w:val="21"/>
                <w:lang w:val="en-AU"/>
              </w:rPr>
              <w:t xml:space="preserve">Katrina Searle </w:t>
            </w:r>
          </w:p>
        </w:tc>
      </w:tr>
      <w:tr w:rsidR="00994F87" w:rsidRPr="008168CC" w14:paraId="13FFBA6A" w14:textId="77777777" w:rsidTr="004D1479">
        <w:tc>
          <w:tcPr>
            <w:tcW w:w="4762" w:type="dxa"/>
            <w:gridSpan w:val="2"/>
          </w:tcPr>
          <w:p w14:paraId="4B2CD582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 xml:space="preserve">Class: </w:t>
            </w:r>
            <w:r w:rsidRPr="008168CC">
              <w:rPr>
                <w:rFonts w:ascii="Cambria" w:hAnsi="Cambria"/>
                <w:sz w:val="21"/>
                <w:szCs w:val="21"/>
              </w:rPr>
              <w:t>3/4S</w:t>
            </w:r>
          </w:p>
          <w:p w14:paraId="1207AD61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4762" w:type="dxa"/>
          </w:tcPr>
          <w:p w14:paraId="4B930AD9" w14:textId="506A78C8" w:rsidR="00994F87" w:rsidRPr="008168CC" w:rsidRDefault="00994F87" w:rsidP="00FC358A">
            <w:pPr>
              <w:pStyle w:val="BodyText"/>
              <w:spacing w:before="120" w:line="480" w:lineRule="auto"/>
              <w:rPr>
                <w:rFonts w:ascii="Cambria" w:hAnsi="Cambria"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 xml:space="preserve">Date: </w:t>
            </w:r>
            <w:r w:rsidR="00FC358A">
              <w:rPr>
                <w:rFonts w:ascii="Cambria" w:hAnsi="Cambria"/>
                <w:sz w:val="21"/>
                <w:szCs w:val="21"/>
              </w:rPr>
              <w:t>21/11/16</w:t>
            </w:r>
          </w:p>
        </w:tc>
        <w:tc>
          <w:tcPr>
            <w:tcW w:w="4762" w:type="dxa"/>
            <w:gridSpan w:val="2"/>
          </w:tcPr>
          <w:p w14:paraId="631411E7" w14:textId="16B81FC0" w:rsidR="00994F87" w:rsidRPr="008168CC" w:rsidRDefault="00994F87" w:rsidP="004443D9">
            <w:pPr>
              <w:pStyle w:val="BodyText"/>
              <w:spacing w:before="120" w:line="360" w:lineRule="auto"/>
              <w:rPr>
                <w:rFonts w:ascii="Cambria" w:hAnsi="Cambria"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 xml:space="preserve">Time: </w:t>
            </w:r>
            <w:r w:rsidR="004443D9">
              <w:rPr>
                <w:rFonts w:ascii="Cambria" w:hAnsi="Cambria"/>
                <w:sz w:val="21"/>
                <w:szCs w:val="21"/>
              </w:rPr>
              <w:t>50 min</w:t>
            </w:r>
          </w:p>
        </w:tc>
      </w:tr>
      <w:tr w:rsidR="00994F87" w:rsidRPr="008168CC" w14:paraId="742700CB" w14:textId="77777777" w:rsidTr="004D1479">
        <w:tc>
          <w:tcPr>
            <w:tcW w:w="4762" w:type="dxa"/>
            <w:gridSpan w:val="2"/>
          </w:tcPr>
          <w:p w14:paraId="549F32C6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 xml:space="preserve">Key Learning Area: </w:t>
            </w:r>
            <w:r w:rsidRPr="008168CC">
              <w:rPr>
                <w:rFonts w:ascii="Cambria" w:hAnsi="Cambria"/>
                <w:sz w:val="21"/>
                <w:szCs w:val="21"/>
              </w:rPr>
              <w:t>Mathematics</w:t>
            </w:r>
          </w:p>
          <w:p w14:paraId="7A6BAD98" w14:textId="77777777" w:rsidR="00994F87" w:rsidRPr="008168CC" w:rsidRDefault="00994F87" w:rsidP="004D1479">
            <w:pPr>
              <w:pStyle w:val="BodyText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9524" w:type="dxa"/>
            <w:gridSpan w:val="3"/>
          </w:tcPr>
          <w:p w14:paraId="0FEF8DFE" w14:textId="0E25E434" w:rsidR="00994F87" w:rsidRPr="008168CC" w:rsidRDefault="00994F87" w:rsidP="004443D9">
            <w:pPr>
              <w:pStyle w:val="BodyText"/>
              <w:spacing w:before="120"/>
              <w:rPr>
                <w:rFonts w:ascii="Cambria" w:hAnsi="Cambria"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 xml:space="preserve">Lesson Topic: </w:t>
            </w:r>
            <w:r w:rsidR="004443D9">
              <w:rPr>
                <w:rFonts w:ascii="Cambria" w:hAnsi="Cambria"/>
                <w:sz w:val="21"/>
                <w:szCs w:val="21"/>
              </w:rPr>
              <w:t>Multiplication/Division</w:t>
            </w:r>
            <w:r w:rsidR="004D1479" w:rsidRPr="008168CC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</w:tr>
      <w:tr w:rsidR="00994F87" w:rsidRPr="008168CC" w14:paraId="57230FB4" w14:textId="77777777" w:rsidTr="004D1479">
        <w:tc>
          <w:tcPr>
            <w:tcW w:w="14286" w:type="dxa"/>
            <w:gridSpan w:val="5"/>
          </w:tcPr>
          <w:p w14:paraId="17565C71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i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 xml:space="preserve">Recent Prior Experience </w:t>
            </w:r>
          </w:p>
          <w:p w14:paraId="14BF164D" w14:textId="20739785" w:rsidR="008168CC" w:rsidRDefault="004443D9" w:rsidP="008168CC">
            <w:pPr>
              <w:pStyle w:val="BodyText"/>
              <w:numPr>
                <w:ilvl w:val="0"/>
                <w:numId w:val="13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Red group – Select, use and record a variety of mental strategies and appropriate digital technologies, to solve multiplication problems</w:t>
            </w:r>
          </w:p>
          <w:p w14:paraId="0D889320" w14:textId="6C17C3C1" w:rsidR="004443D9" w:rsidRDefault="004443D9" w:rsidP="008168CC">
            <w:pPr>
              <w:pStyle w:val="BodyText"/>
              <w:numPr>
                <w:ilvl w:val="0"/>
                <w:numId w:val="13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Green group – Use mental strategies to divide a two-digit number by a one-digit number in problems for which answers, include a remainder.</w:t>
            </w:r>
          </w:p>
          <w:p w14:paraId="66BDA724" w14:textId="1AFE91C9" w:rsidR="004443D9" w:rsidRPr="008168CC" w:rsidRDefault="004443D9" w:rsidP="008168CC">
            <w:pPr>
              <w:pStyle w:val="BodyText"/>
              <w:numPr>
                <w:ilvl w:val="0"/>
                <w:numId w:val="13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Blue group – Use and interpret remainders in solutions to division problems – record strategy used to solve problem </w:t>
            </w:r>
          </w:p>
          <w:p w14:paraId="01C75561" w14:textId="77777777" w:rsidR="00994F87" w:rsidRPr="008168CC" w:rsidRDefault="00994F87" w:rsidP="001B0C47">
            <w:pPr>
              <w:pStyle w:val="BodyText"/>
              <w:ind w:left="720"/>
              <w:rPr>
                <w:rFonts w:ascii="Cambria" w:hAnsi="Cambria"/>
                <w:sz w:val="21"/>
                <w:szCs w:val="21"/>
              </w:rPr>
            </w:pPr>
          </w:p>
        </w:tc>
      </w:tr>
      <w:tr w:rsidR="00994F87" w:rsidRPr="008168CC" w14:paraId="329EF084" w14:textId="77777777" w:rsidTr="004D1479">
        <w:tc>
          <w:tcPr>
            <w:tcW w:w="3936" w:type="dxa"/>
          </w:tcPr>
          <w:p w14:paraId="771E3F56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Syllabus Outcome(s):</w:t>
            </w:r>
          </w:p>
          <w:p w14:paraId="5E70BA01" w14:textId="77777777" w:rsidR="00994F87" w:rsidRPr="008168CC" w:rsidRDefault="00994F87" w:rsidP="004D1479">
            <w:pPr>
              <w:pStyle w:val="BodyText"/>
              <w:rPr>
                <w:rFonts w:ascii="Cambria" w:hAnsi="Cambria"/>
                <w:sz w:val="21"/>
                <w:szCs w:val="21"/>
              </w:rPr>
            </w:pPr>
          </w:p>
          <w:p w14:paraId="259CAAA2" w14:textId="77777777" w:rsidR="0022227B" w:rsidRPr="0022227B" w:rsidRDefault="0022227B" w:rsidP="0022227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sz w:val="21"/>
                <w:szCs w:val="21"/>
                <w:lang w:val="en-AU" w:eastAsia="en-US"/>
              </w:rPr>
            </w:pPr>
            <w:r w:rsidRPr="0022227B">
              <w:rPr>
                <w:rFonts w:ascii="Cambria" w:hAnsi="Cambria"/>
                <w:color w:val="000000"/>
                <w:sz w:val="21"/>
                <w:szCs w:val="21"/>
                <w:shd w:val="clear" w:color="auto" w:fill="FFFFFF"/>
                <w:lang w:val="en-AU" w:eastAsia="en-US"/>
              </w:rPr>
              <w:t>Selects and uses appropriate mental or written strategies, or technology, to solve problems</w:t>
            </w:r>
            <w:r w:rsidRPr="0022227B">
              <w:rPr>
                <w:rFonts w:ascii="Cambria" w:hAnsi="Cambria"/>
                <w:color w:val="767676"/>
                <w:sz w:val="21"/>
                <w:szCs w:val="21"/>
                <w:shd w:val="clear" w:color="auto" w:fill="FFFFFF"/>
                <w:lang w:val="en-AU" w:eastAsia="en-US"/>
              </w:rPr>
              <w:t xml:space="preserve"> MA2-2WM</w:t>
            </w:r>
          </w:p>
          <w:p w14:paraId="064ABC68" w14:textId="77777777" w:rsidR="0022227B" w:rsidRPr="0022227B" w:rsidRDefault="0022227B" w:rsidP="0022227B">
            <w:pPr>
              <w:rPr>
                <w:rFonts w:ascii="Cambria" w:hAnsi="Cambria"/>
                <w:sz w:val="21"/>
                <w:szCs w:val="21"/>
                <w:lang w:val="en-AU" w:eastAsia="en-US"/>
              </w:rPr>
            </w:pPr>
          </w:p>
          <w:p w14:paraId="087ED8B9" w14:textId="4E7A945E" w:rsidR="00994F87" w:rsidRPr="0022227B" w:rsidRDefault="004443D9" w:rsidP="004443D9">
            <w:pPr>
              <w:pStyle w:val="ListParagraph"/>
              <w:numPr>
                <w:ilvl w:val="0"/>
                <w:numId w:val="16"/>
              </w:numPr>
              <w:spacing w:after="225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Uses mental and informal written strategies for multiplication and division MA2-6NA</w:t>
            </w:r>
          </w:p>
        </w:tc>
        <w:tc>
          <w:tcPr>
            <w:tcW w:w="6095" w:type="dxa"/>
            <w:gridSpan w:val="3"/>
          </w:tcPr>
          <w:p w14:paraId="054CD999" w14:textId="31E0782B" w:rsidR="00994F87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Indicators of Learning for this lesson (learning intention):</w:t>
            </w:r>
          </w:p>
          <w:p w14:paraId="0B6EC7E4" w14:textId="43250ACF" w:rsidR="004443D9" w:rsidRPr="004443D9" w:rsidRDefault="004443D9" w:rsidP="004443D9">
            <w:pPr>
              <w:pStyle w:val="BodyText"/>
              <w:numPr>
                <w:ilvl w:val="0"/>
                <w:numId w:val="18"/>
              </w:numPr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Real-life application of mathematics – use of operations particularly multiplication/division.</w:t>
            </w:r>
          </w:p>
          <w:p w14:paraId="7F1C86F4" w14:textId="387A6720" w:rsidR="004443D9" w:rsidRPr="004443D9" w:rsidRDefault="004443D9" w:rsidP="004443D9">
            <w:pPr>
              <w:pStyle w:val="BodyText"/>
              <w:numPr>
                <w:ilvl w:val="0"/>
                <w:numId w:val="18"/>
              </w:numPr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Develop analytic skills.</w:t>
            </w:r>
          </w:p>
          <w:p w14:paraId="485BC6AE" w14:textId="025BA10E" w:rsidR="00994F87" w:rsidRPr="004443D9" w:rsidRDefault="004443D9" w:rsidP="004D1479">
            <w:pPr>
              <w:pStyle w:val="BodyText"/>
              <w:numPr>
                <w:ilvl w:val="0"/>
                <w:numId w:val="18"/>
              </w:numPr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Identify numbers and real scenarios. </w:t>
            </w:r>
          </w:p>
          <w:p w14:paraId="03E1CF84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4255" w:type="dxa"/>
          </w:tcPr>
          <w:p w14:paraId="08E2A750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Assessment (success criteria):</w:t>
            </w:r>
          </w:p>
          <w:p w14:paraId="7A396FEA" w14:textId="77777777" w:rsidR="00994F87" w:rsidRPr="008168CC" w:rsidRDefault="00994F87" w:rsidP="004D1479">
            <w:pPr>
              <w:pStyle w:val="BodyText"/>
              <w:rPr>
                <w:rFonts w:ascii="Cambria" w:hAnsi="Cambria"/>
                <w:i/>
                <w:sz w:val="21"/>
                <w:szCs w:val="21"/>
              </w:rPr>
            </w:pPr>
          </w:p>
          <w:p w14:paraId="08876BA2" w14:textId="77777777" w:rsidR="008168CC" w:rsidRDefault="008168CC" w:rsidP="008168C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 w:rsidRPr="00994F87">
              <w:rPr>
                <w:rFonts w:asciiTheme="minorHAnsi" w:hAnsiTheme="minorHAnsi"/>
                <w:szCs w:val="22"/>
              </w:rPr>
              <w:t>Listening, viewing and response from students.</w:t>
            </w:r>
          </w:p>
          <w:p w14:paraId="4E38D0A3" w14:textId="77777777" w:rsidR="008168CC" w:rsidRPr="00994F87" w:rsidRDefault="008168CC" w:rsidP="008168C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 w:rsidRPr="00994F87">
              <w:rPr>
                <w:rFonts w:asciiTheme="minorHAnsi" w:hAnsiTheme="minorHAnsi"/>
                <w:szCs w:val="22"/>
              </w:rPr>
              <w:t>Student participation in</w:t>
            </w:r>
            <w:r>
              <w:rPr>
                <w:rFonts w:asciiTheme="minorHAnsi" w:hAnsiTheme="minorHAnsi"/>
                <w:szCs w:val="22"/>
              </w:rPr>
              <w:t xml:space="preserve"> learning</w:t>
            </w:r>
            <w:r w:rsidRPr="00994F87">
              <w:rPr>
                <w:rFonts w:asciiTheme="minorHAnsi" w:hAnsiTheme="minorHAnsi"/>
                <w:szCs w:val="22"/>
              </w:rPr>
              <w:t xml:space="preserve"> activities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74A8CC30" w14:textId="775D2051" w:rsidR="008168CC" w:rsidRDefault="004443D9" w:rsidP="008168C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Students use of multiplication/division effectively. </w:t>
            </w:r>
          </w:p>
          <w:p w14:paraId="0AAE3883" w14:textId="7524EECD" w:rsidR="008168CC" w:rsidRDefault="004443D9" w:rsidP="008168C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Display of strategy – mental, informal. </w:t>
            </w:r>
          </w:p>
          <w:p w14:paraId="58BAC2CB" w14:textId="77777777" w:rsidR="00994F87" w:rsidRPr="008168CC" w:rsidRDefault="00994F87" w:rsidP="004D1479">
            <w:pPr>
              <w:pStyle w:val="BodyText"/>
              <w:rPr>
                <w:rFonts w:ascii="Cambria" w:hAnsi="Cambria"/>
                <w:b/>
                <w:sz w:val="21"/>
                <w:szCs w:val="21"/>
              </w:rPr>
            </w:pPr>
          </w:p>
          <w:p w14:paraId="0FCFD159" w14:textId="77777777" w:rsidR="00994F87" w:rsidRPr="008168CC" w:rsidRDefault="00994F87" w:rsidP="004D1479">
            <w:pPr>
              <w:pStyle w:val="BodyText"/>
              <w:rPr>
                <w:rFonts w:ascii="Cambria" w:hAnsi="Cambria"/>
                <w:b/>
                <w:sz w:val="21"/>
                <w:szCs w:val="21"/>
              </w:rPr>
            </w:pPr>
          </w:p>
        </w:tc>
      </w:tr>
      <w:tr w:rsidR="00994F87" w:rsidRPr="008168CC" w14:paraId="7C7F8FD8" w14:textId="77777777" w:rsidTr="004D1479">
        <w:tc>
          <w:tcPr>
            <w:tcW w:w="4762" w:type="dxa"/>
            <w:gridSpan w:val="2"/>
          </w:tcPr>
          <w:p w14:paraId="167DBFBD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Any safety issues to be considered:</w:t>
            </w:r>
          </w:p>
          <w:p w14:paraId="71316995" w14:textId="5829A242" w:rsidR="00994F87" w:rsidRPr="008168CC" w:rsidRDefault="00D3497A" w:rsidP="00D3497A">
            <w:pPr>
              <w:pStyle w:val="BodyText"/>
              <w:numPr>
                <w:ilvl w:val="0"/>
                <w:numId w:val="17"/>
              </w:numPr>
              <w:rPr>
                <w:rFonts w:ascii="Cambria" w:hAnsi="Cambria"/>
                <w:b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movement and transition </w:t>
            </w:r>
            <w:r w:rsidR="004443D9">
              <w:rPr>
                <w:rFonts w:ascii="Cambria" w:hAnsi="Cambria"/>
                <w:sz w:val="21"/>
                <w:szCs w:val="21"/>
              </w:rPr>
              <w:t xml:space="preserve">during activity. </w:t>
            </w:r>
          </w:p>
          <w:p w14:paraId="0FAC749D" w14:textId="77777777" w:rsidR="00994F87" w:rsidRPr="008168CC" w:rsidRDefault="00994F87" w:rsidP="004D1479">
            <w:pPr>
              <w:pStyle w:val="BodyText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9524" w:type="dxa"/>
            <w:gridSpan w:val="3"/>
          </w:tcPr>
          <w:p w14:paraId="66026BB2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Resources:</w:t>
            </w:r>
          </w:p>
          <w:p w14:paraId="4A119ADD" w14:textId="45A66806" w:rsidR="005168FD" w:rsidRDefault="005168FD" w:rsidP="00994F87">
            <w:pPr>
              <w:pStyle w:val="BodyText"/>
              <w:numPr>
                <w:ilvl w:val="0"/>
                <w:numId w:val="4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‘Shopping list’</w:t>
            </w:r>
            <w:r w:rsidR="000867B8">
              <w:rPr>
                <w:rFonts w:ascii="Cambria" w:hAnsi="Cambria"/>
                <w:sz w:val="21"/>
                <w:szCs w:val="21"/>
              </w:rPr>
              <w:t xml:space="preserve"> for red, green and</w:t>
            </w:r>
            <w:r>
              <w:rPr>
                <w:rFonts w:ascii="Cambria" w:hAnsi="Cambria"/>
                <w:sz w:val="21"/>
                <w:szCs w:val="21"/>
              </w:rPr>
              <w:t xml:space="preserve"> blue</w:t>
            </w:r>
            <w:r w:rsidR="000867B8">
              <w:rPr>
                <w:rFonts w:ascii="Cambria" w:hAnsi="Cambria"/>
                <w:sz w:val="21"/>
                <w:szCs w:val="21"/>
              </w:rPr>
              <w:t xml:space="preserve"> groups</w:t>
            </w:r>
            <w:r>
              <w:rPr>
                <w:rFonts w:ascii="Cambria" w:hAnsi="Cambria"/>
                <w:sz w:val="21"/>
                <w:szCs w:val="21"/>
              </w:rPr>
              <w:t xml:space="preserve"> (based on numeracy level)</w:t>
            </w:r>
          </w:p>
          <w:p w14:paraId="1BF178F6" w14:textId="3A8AFF8F" w:rsidR="00893E24" w:rsidRDefault="00893E24" w:rsidP="00994F87">
            <w:pPr>
              <w:pStyle w:val="BodyText"/>
              <w:numPr>
                <w:ilvl w:val="0"/>
                <w:numId w:val="4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Challenge sheet – recipes </w:t>
            </w:r>
          </w:p>
          <w:p w14:paraId="327B5C45" w14:textId="0B1F763E" w:rsidR="005168FD" w:rsidRDefault="00FC358A" w:rsidP="00994F87">
            <w:pPr>
              <w:pStyle w:val="BodyText"/>
              <w:numPr>
                <w:ilvl w:val="0"/>
                <w:numId w:val="4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Receipt template </w:t>
            </w:r>
          </w:p>
          <w:p w14:paraId="3D27D852" w14:textId="77777777" w:rsidR="008A685D" w:rsidRDefault="00FC358A" w:rsidP="00994F87">
            <w:pPr>
              <w:pStyle w:val="BodyText"/>
              <w:numPr>
                <w:ilvl w:val="0"/>
                <w:numId w:val="4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Microsoft PowerPoint</w:t>
            </w:r>
          </w:p>
          <w:p w14:paraId="109D457D" w14:textId="482B67CE" w:rsidR="00E402C8" w:rsidRPr="008168CC" w:rsidRDefault="00E402C8" w:rsidP="00994F87">
            <w:pPr>
              <w:pStyle w:val="BodyText"/>
              <w:numPr>
                <w:ilvl w:val="0"/>
                <w:numId w:val="4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Price figures </w:t>
            </w:r>
            <w:r w:rsidR="002E297F">
              <w:rPr>
                <w:rFonts w:ascii="Cambria" w:hAnsi="Cambria"/>
                <w:sz w:val="21"/>
                <w:szCs w:val="21"/>
              </w:rPr>
              <w:t>of certain items</w:t>
            </w:r>
          </w:p>
        </w:tc>
      </w:tr>
    </w:tbl>
    <w:p w14:paraId="7DF5F3DB" w14:textId="77777777" w:rsidR="00117BA0" w:rsidRDefault="00117BA0" w:rsidP="00117BA0">
      <w:pPr>
        <w:pStyle w:val="BodyText"/>
        <w:spacing w:line="480" w:lineRule="auto"/>
        <w:rPr>
          <w:rFonts w:ascii="Cambria" w:hAnsi="Cambria"/>
          <w:b/>
          <w:sz w:val="21"/>
          <w:szCs w:val="21"/>
        </w:rPr>
      </w:pPr>
    </w:p>
    <w:p w14:paraId="2B2EAE18" w14:textId="72D8B072" w:rsidR="00994F87" w:rsidRPr="008168CC" w:rsidRDefault="00994F87" w:rsidP="00117BA0">
      <w:pPr>
        <w:pStyle w:val="BodyText"/>
        <w:spacing w:line="480" w:lineRule="auto"/>
        <w:jc w:val="center"/>
        <w:rPr>
          <w:rFonts w:ascii="Cambria" w:hAnsi="Cambria"/>
          <w:b/>
          <w:sz w:val="21"/>
          <w:szCs w:val="21"/>
        </w:rPr>
      </w:pPr>
      <w:bookmarkStart w:id="0" w:name="_GoBack"/>
      <w:r w:rsidRPr="008168CC">
        <w:rPr>
          <w:rFonts w:ascii="Cambria" w:hAnsi="Cambria"/>
          <w:b/>
          <w:sz w:val="21"/>
          <w:szCs w:val="21"/>
        </w:rPr>
        <w:lastRenderedPageBreak/>
        <w:t>LESSON SEQUENCE</w:t>
      </w:r>
    </w:p>
    <w:tbl>
      <w:tblPr>
        <w:tblStyle w:val="TableGrid"/>
        <w:tblW w:w="14371" w:type="dxa"/>
        <w:tblLook w:val="01E0" w:firstRow="1" w:lastRow="1" w:firstColumn="1" w:lastColumn="1" w:noHBand="0" w:noVBand="0"/>
      </w:tblPr>
      <w:tblGrid>
        <w:gridCol w:w="3528"/>
        <w:gridCol w:w="1170"/>
        <w:gridCol w:w="6226"/>
        <w:gridCol w:w="3447"/>
      </w:tblGrid>
      <w:tr w:rsidR="00994F87" w:rsidRPr="008168CC" w14:paraId="4E7521EE" w14:textId="77777777" w:rsidTr="002E297F">
        <w:tc>
          <w:tcPr>
            <w:tcW w:w="3528" w:type="dxa"/>
          </w:tcPr>
          <w:bookmarkEnd w:id="0"/>
          <w:p w14:paraId="38D9A782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Lesson Content /Indicators of Learning (</w:t>
            </w:r>
            <w:r w:rsidRPr="008168CC">
              <w:rPr>
                <w:rFonts w:ascii="Cambria" w:hAnsi="Cambria"/>
                <w:b/>
                <w:i/>
                <w:sz w:val="21"/>
                <w:szCs w:val="21"/>
              </w:rPr>
              <w:t>What</w:t>
            </w:r>
            <w:r w:rsidRPr="008168CC">
              <w:rPr>
                <w:rFonts w:ascii="Cambria" w:hAnsi="Cambria"/>
                <w:b/>
                <w:sz w:val="21"/>
                <w:szCs w:val="21"/>
              </w:rPr>
              <w:t xml:space="preserve"> is Taught):</w:t>
            </w:r>
          </w:p>
          <w:p w14:paraId="10FC096F" w14:textId="77777777" w:rsidR="00994F87" w:rsidRPr="008168CC" w:rsidRDefault="00994F87" w:rsidP="004D1479">
            <w:pPr>
              <w:pStyle w:val="BodyTex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002ADAF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Timing</w:t>
            </w:r>
          </w:p>
          <w:p w14:paraId="71CDDB8D" w14:textId="77777777" w:rsidR="00994F87" w:rsidRPr="008168CC" w:rsidRDefault="00994F87" w:rsidP="004D1479">
            <w:pPr>
              <w:pStyle w:val="BodyText"/>
              <w:rPr>
                <w:rFonts w:ascii="Cambria" w:hAnsi="Cambria"/>
                <w:i/>
                <w:sz w:val="21"/>
                <w:szCs w:val="21"/>
              </w:rPr>
            </w:pPr>
            <w:r w:rsidRPr="008168CC">
              <w:rPr>
                <w:rFonts w:ascii="Cambria" w:hAnsi="Cambria"/>
                <w:i/>
                <w:sz w:val="21"/>
                <w:szCs w:val="21"/>
              </w:rPr>
              <w:t>(mins)</w:t>
            </w:r>
          </w:p>
        </w:tc>
        <w:tc>
          <w:tcPr>
            <w:tcW w:w="6226" w:type="dxa"/>
          </w:tcPr>
          <w:p w14:paraId="016CAD48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Teaching Strategies / Learning Experiences:</w:t>
            </w:r>
          </w:p>
          <w:p w14:paraId="41405CC7" w14:textId="77777777" w:rsidR="00994F87" w:rsidRPr="008168CC" w:rsidRDefault="00994F87" w:rsidP="004D1479">
            <w:pPr>
              <w:pStyle w:val="BodyText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(</w:t>
            </w:r>
            <w:r w:rsidRPr="008168CC">
              <w:rPr>
                <w:rFonts w:ascii="Cambria" w:hAnsi="Cambria"/>
                <w:b/>
                <w:i/>
                <w:sz w:val="21"/>
                <w:szCs w:val="21"/>
              </w:rPr>
              <w:t>How</w:t>
            </w:r>
            <w:r w:rsidRPr="008168CC">
              <w:rPr>
                <w:rFonts w:ascii="Cambria" w:hAnsi="Cambria"/>
                <w:b/>
                <w:sz w:val="21"/>
                <w:szCs w:val="21"/>
              </w:rPr>
              <w:t xml:space="preserve"> it is taught)</w:t>
            </w:r>
          </w:p>
          <w:p w14:paraId="5D340BEB" w14:textId="77777777" w:rsidR="00994F87" w:rsidRPr="008168CC" w:rsidRDefault="00994F87" w:rsidP="004D1479">
            <w:pPr>
              <w:pStyle w:val="BodyText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3447" w:type="dxa"/>
          </w:tcPr>
          <w:p w14:paraId="30BA2292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 xml:space="preserve">Resources and </w:t>
            </w:r>
            <w:proofErr w:type="spellStart"/>
            <w:r w:rsidRPr="008168CC">
              <w:rPr>
                <w:rFonts w:ascii="Cambria" w:hAnsi="Cambria"/>
                <w:b/>
                <w:sz w:val="21"/>
                <w:szCs w:val="21"/>
              </w:rPr>
              <w:t>Organisation</w:t>
            </w:r>
            <w:proofErr w:type="spellEnd"/>
            <w:r w:rsidRPr="008168CC">
              <w:rPr>
                <w:rFonts w:ascii="Cambria" w:hAnsi="Cambria"/>
                <w:b/>
                <w:sz w:val="21"/>
                <w:szCs w:val="21"/>
              </w:rPr>
              <w:t>:</w:t>
            </w:r>
          </w:p>
          <w:p w14:paraId="6FCCF99A" w14:textId="77777777" w:rsidR="00994F87" w:rsidRPr="008168CC" w:rsidRDefault="00994F87" w:rsidP="004D1479">
            <w:pPr>
              <w:pStyle w:val="BodyText"/>
              <w:rPr>
                <w:rFonts w:ascii="Cambria" w:hAnsi="Cambria"/>
                <w:sz w:val="21"/>
                <w:szCs w:val="21"/>
              </w:rPr>
            </w:pPr>
          </w:p>
          <w:p w14:paraId="25907C7D" w14:textId="77777777" w:rsidR="00994F87" w:rsidRPr="008168CC" w:rsidRDefault="00994F87" w:rsidP="004D1479">
            <w:pPr>
              <w:pStyle w:val="BodyText"/>
              <w:rPr>
                <w:rFonts w:ascii="Cambria" w:hAnsi="Cambria"/>
                <w:sz w:val="21"/>
                <w:szCs w:val="21"/>
              </w:rPr>
            </w:pPr>
          </w:p>
          <w:p w14:paraId="33047E7C" w14:textId="77777777" w:rsidR="00994F87" w:rsidRPr="008168CC" w:rsidRDefault="00994F87" w:rsidP="004D1479">
            <w:pPr>
              <w:pStyle w:val="BodyText"/>
              <w:spacing w:before="120"/>
              <w:rPr>
                <w:rFonts w:ascii="Cambria" w:hAnsi="Cambria"/>
                <w:sz w:val="21"/>
                <w:szCs w:val="21"/>
              </w:rPr>
            </w:pPr>
          </w:p>
        </w:tc>
      </w:tr>
      <w:tr w:rsidR="00994F87" w:rsidRPr="008168CC" w14:paraId="60AD03C4" w14:textId="77777777" w:rsidTr="004D1479">
        <w:tc>
          <w:tcPr>
            <w:tcW w:w="14371" w:type="dxa"/>
            <w:gridSpan w:val="4"/>
            <w:shd w:val="clear" w:color="auto" w:fill="D9D9D9"/>
          </w:tcPr>
          <w:p w14:paraId="7EA37ADA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INTRODUCTION</w:t>
            </w:r>
          </w:p>
        </w:tc>
      </w:tr>
      <w:tr w:rsidR="00994F87" w:rsidRPr="008168CC" w14:paraId="704BC703" w14:textId="77777777" w:rsidTr="002E297F">
        <w:tc>
          <w:tcPr>
            <w:tcW w:w="3528" w:type="dxa"/>
          </w:tcPr>
          <w:p w14:paraId="687658BB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1F36F8AB" w14:textId="11EBE9BF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b/>
                <w:sz w:val="21"/>
                <w:szCs w:val="21"/>
                <w:u w:val="single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  <w:u w:val="single"/>
              </w:rPr>
              <w:t xml:space="preserve">Launch </w:t>
            </w:r>
            <w:r w:rsidR="00E402C8">
              <w:rPr>
                <w:rFonts w:ascii="Cambria" w:hAnsi="Cambria"/>
                <w:b/>
                <w:sz w:val="21"/>
                <w:szCs w:val="21"/>
                <w:u w:val="single"/>
              </w:rPr>
              <w:t>MWU</w:t>
            </w:r>
          </w:p>
          <w:p w14:paraId="1AEE7FD4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b/>
                <w:sz w:val="21"/>
                <w:szCs w:val="21"/>
                <w:u w:val="single"/>
              </w:rPr>
            </w:pPr>
          </w:p>
          <w:p w14:paraId="4AAABB56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2E1AB7C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767C7455" w14:textId="1D0D68A9" w:rsidR="00994F87" w:rsidRPr="008168CC" w:rsidRDefault="00E402C8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5 min</w:t>
            </w:r>
          </w:p>
        </w:tc>
        <w:tc>
          <w:tcPr>
            <w:tcW w:w="6226" w:type="dxa"/>
          </w:tcPr>
          <w:p w14:paraId="16BE8C15" w14:textId="5A5062EA" w:rsidR="00E402C8" w:rsidRDefault="00E402C8" w:rsidP="00E402C8">
            <w:pPr>
              <w:pStyle w:val="BodyText"/>
              <w:jc w:val="both"/>
              <w:rPr>
                <w:rFonts w:ascii="Cambria" w:hAnsi="Cambria"/>
                <w:sz w:val="21"/>
                <w:szCs w:val="21"/>
                <w:u w:val="single"/>
              </w:rPr>
            </w:pPr>
            <w:r w:rsidRPr="00E402C8">
              <w:rPr>
                <w:rFonts w:ascii="Cambria" w:hAnsi="Cambria"/>
                <w:sz w:val="21"/>
                <w:szCs w:val="21"/>
                <w:u w:val="single"/>
              </w:rPr>
              <w:t>MWU –</w:t>
            </w:r>
          </w:p>
          <w:p w14:paraId="58EF9C73" w14:textId="77777777" w:rsidR="00893E24" w:rsidRPr="00E402C8" w:rsidRDefault="00893E24" w:rsidP="00E402C8">
            <w:pPr>
              <w:pStyle w:val="BodyText"/>
              <w:jc w:val="both"/>
              <w:rPr>
                <w:rFonts w:ascii="Cambria" w:hAnsi="Cambria"/>
                <w:sz w:val="21"/>
                <w:szCs w:val="21"/>
                <w:u w:val="single"/>
              </w:rPr>
            </w:pPr>
          </w:p>
          <w:p w14:paraId="7F3B2954" w14:textId="04292BCC" w:rsidR="00E402C8" w:rsidRDefault="00E402C8" w:rsidP="00E402C8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Identifying patterns in multiplication table - </w:t>
            </w:r>
            <w:r>
              <w:rPr>
                <w:rFonts w:ascii="Cambria" w:hAnsi="Cambria"/>
                <w:b/>
                <w:sz w:val="21"/>
                <w:szCs w:val="21"/>
              </w:rPr>
              <w:t>H</w:t>
            </w:r>
            <w:r w:rsidRPr="00E402C8">
              <w:rPr>
                <w:rFonts w:ascii="Cambria" w:hAnsi="Cambria"/>
                <w:b/>
                <w:sz w:val="21"/>
                <w:szCs w:val="21"/>
              </w:rPr>
              <w:t>ow else can we learn our timetables?</w:t>
            </w:r>
          </w:p>
          <w:p w14:paraId="0591AAC6" w14:textId="77777777" w:rsidR="00E402C8" w:rsidRDefault="00E402C8" w:rsidP="00E402C8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61A1FB18" w14:textId="2AE3F097" w:rsidR="00E402C8" w:rsidRDefault="00E402C8" w:rsidP="00E402C8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T poses the question to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4A3036D2" w14:textId="4651664B" w:rsidR="00E402C8" w:rsidRDefault="00E402C8" w:rsidP="00E402C8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Where is it that we use multiplication and division in real life (outside of school)?</w:t>
            </w:r>
          </w:p>
          <w:p w14:paraId="323B7595" w14:textId="77777777" w:rsidR="00E402C8" w:rsidRDefault="00E402C8" w:rsidP="00E402C8">
            <w:pPr>
              <w:pStyle w:val="BodyText"/>
              <w:numPr>
                <w:ilvl w:val="0"/>
                <w:numId w:val="19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Shopping</w:t>
            </w:r>
          </w:p>
          <w:p w14:paraId="614814CD" w14:textId="4438A403" w:rsidR="00E402C8" w:rsidRPr="008168CC" w:rsidRDefault="00E402C8" w:rsidP="00E402C8">
            <w:pPr>
              <w:pStyle w:val="BodyText"/>
              <w:numPr>
                <w:ilvl w:val="0"/>
                <w:numId w:val="19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Work</w:t>
            </w:r>
          </w:p>
        </w:tc>
        <w:tc>
          <w:tcPr>
            <w:tcW w:w="3447" w:type="dxa"/>
          </w:tcPr>
          <w:p w14:paraId="2552D4AA" w14:textId="77777777" w:rsidR="00994F87" w:rsidRPr="008168CC" w:rsidRDefault="00994F87" w:rsidP="00106728">
            <w:pPr>
              <w:pStyle w:val="BodyText"/>
              <w:rPr>
                <w:rFonts w:ascii="Cambria" w:hAnsi="Cambria"/>
                <w:sz w:val="21"/>
                <w:szCs w:val="21"/>
              </w:rPr>
            </w:pPr>
          </w:p>
          <w:p w14:paraId="639B06C6" w14:textId="705241B2" w:rsidR="008168CC" w:rsidRDefault="00E402C8" w:rsidP="008168CC">
            <w:pPr>
              <w:pStyle w:val="BodyText"/>
              <w:numPr>
                <w:ilvl w:val="0"/>
                <w:numId w:val="12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Multiplication table</w:t>
            </w:r>
          </w:p>
          <w:p w14:paraId="1EAF2F7E" w14:textId="5FF4459D" w:rsidR="002E297F" w:rsidRPr="008168CC" w:rsidRDefault="002E297F" w:rsidP="008168CC">
            <w:pPr>
              <w:pStyle w:val="BodyText"/>
              <w:numPr>
                <w:ilvl w:val="0"/>
                <w:numId w:val="12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IWU/Whiteboard</w:t>
            </w:r>
          </w:p>
          <w:p w14:paraId="03C48A7F" w14:textId="05200CDC" w:rsidR="008168CC" w:rsidRDefault="008168CC" w:rsidP="00C16694">
            <w:pPr>
              <w:pStyle w:val="BodyText"/>
              <w:rPr>
                <w:rFonts w:ascii="Cambria" w:hAnsi="Cambria"/>
                <w:sz w:val="21"/>
                <w:szCs w:val="21"/>
              </w:rPr>
            </w:pPr>
          </w:p>
          <w:p w14:paraId="399A16E9" w14:textId="7E512313" w:rsidR="000867B8" w:rsidRDefault="000867B8" w:rsidP="00C16694">
            <w:pPr>
              <w:pStyle w:val="BodyText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Class Dojo</w:t>
            </w:r>
          </w:p>
          <w:p w14:paraId="09BB7E20" w14:textId="36F80C57" w:rsidR="000867B8" w:rsidRDefault="000867B8" w:rsidP="00C16694">
            <w:pPr>
              <w:pStyle w:val="BodyText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Raffle Tickets</w:t>
            </w:r>
          </w:p>
          <w:p w14:paraId="4D5FD3C3" w14:textId="4EC71CD9" w:rsidR="00C16694" w:rsidRPr="008168CC" w:rsidRDefault="00C16694" w:rsidP="002E297F">
            <w:pPr>
              <w:pStyle w:val="BodyText"/>
              <w:rPr>
                <w:rFonts w:ascii="Cambria" w:hAnsi="Cambria"/>
                <w:sz w:val="21"/>
                <w:szCs w:val="21"/>
              </w:rPr>
            </w:pPr>
          </w:p>
        </w:tc>
      </w:tr>
      <w:tr w:rsidR="00994F87" w:rsidRPr="008168CC" w14:paraId="05266D08" w14:textId="77777777" w:rsidTr="004D1479">
        <w:tc>
          <w:tcPr>
            <w:tcW w:w="14371" w:type="dxa"/>
            <w:gridSpan w:val="4"/>
            <w:shd w:val="clear" w:color="auto" w:fill="D9D9D9"/>
          </w:tcPr>
          <w:p w14:paraId="261EC2DD" w14:textId="78141D99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DEVELOPMENT</w:t>
            </w:r>
          </w:p>
        </w:tc>
      </w:tr>
      <w:tr w:rsidR="00994F87" w:rsidRPr="008168CC" w14:paraId="049C4672" w14:textId="77777777" w:rsidTr="002E297F">
        <w:tc>
          <w:tcPr>
            <w:tcW w:w="3528" w:type="dxa"/>
          </w:tcPr>
          <w:p w14:paraId="2E319018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3E71A76F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b/>
                <w:sz w:val="21"/>
                <w:szCs w:val="21"/>
                <w:u w:val="single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  <w:u w:val="single"/>
              </w:rPr>
              <w:t>Explore</w:t>
            </w:r>
          </w:p>
          <w:p w14:paraId="29312870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1EA4D4FA" w14:textId="3BCE28AF" w:rsidR="00106728" w:rsidRPr="008168CC" w:rsidRDefault="00106728" w:rsidP="00106728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48B4DD8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0C09A8FB" w14:textId="6E69B552" w:rsidR="00994F87" w:rsidRPr="008168CC" w:rsidRDefault="000867B8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40</w:t>
            </w:r>
            <w:r w:rsidR="002E297F">
              <w:rPr>
                <w:rFonts w:ascii="Cambria" w:hAnsi="Cambria"/>
                <w:sz w:val="21"/>
                <w:szCs w:val="21"/>
              </w:rPr>
              <w:t xml:space="preserve"> min</w:t>
            </w:r>
          </w:p>
        </w:tc>
        <w:tc>
          <w:tcPr>
            <w:tcW w:w="6226" w:type="dxa"/>
          </w:tcPr>
          <w:p w14:paraId="69A44EC4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5F6EAE23" w14:textId="385F680D" w:rsidR="00994F87" w:rsidRDefault="002E297F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  <w:u w:val="single"/>
              </w:rPr>
            </w:pPr>
            <w:r>
              <w:rPr>
                <w:rFonts w:ascii="Cambria" w:hAnsi="Cambria"/>
                <w:sz w:val="21"/>
                <w:szCs w:val="21"/>
                <w:u w:val="single"/>
              </w:rPr>
              <w:t>The activity</w:t>
            </w:r>
          </w:p>
          <w:p w14:paraId="3F279BC1" w14:textId="6D8F1D91" w:rsidR="002E297F" w:rsidRDefault="002E297F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  <w:u w:val="single"/>
              </w:rPr>
            </w:pPr>
          </w:p>
          <w:p w14:paraId="25A15792" w14:textId="77777777" w:rsidR="002E297F" w:rsidRDefault="002E297F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T outlines teaching focus – use of multiplication and division.</w:t>
            </w:r>
          </w:p>
          <w:p w14:paraId="48564479" w14:textId="6ECFD224" w:rsidR="002E297F" w:rsidRDefault="002E297F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T shows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representations of real life application of mathematics (receipts).</w:t>
            </w:r>
          </w:p>
          <w:p w14:paraId="35BDB101" w14:textId="7B193D9C" w:rsidR="00117BA0" w:rsidRDefault="00117BA0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T hands out receipt templates. </w:t>
            </w:r>
          </w:p>
          <w:p w14:paraId="429AF016" w14:textId="496DDCC2" w:rsidR="002E297F" w:rsidRDefault="002E297F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are to construct their own receipts through the event of ‘shopping’ – lists are provided. </w:t>
            </w:r>
          </w:p>
          <w:p w14:paraId="78312C41" w14:textId="78BC3A16" w:rsidR="002E297F" w:rsidRPr="002E297F" w:rsidRDefault="002E297F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have a budget of $50</w:t>
            </w:r>
            <w:r w:rsidR="002E0F1B">
              <w:rPr>
                <w:rFonts w:ascii="Cambria" w:hAnsi="Cambria"/>
                <w:sz w:val="21"/>
                <w:szCs w:val="21"/>
              </w:rPr>
              <w:t>, $100 or $220</w:t>
            </w:r>
            <w:r>
              <w:rPr>
                <w:rFonts w:ascii="Cambria" w:hAnsi="Cambria"/>
                <w:sz w:val="21"/>
                <w:szCs w:val="21"/>
              </w:rPr>
              <w:t xml:space="preserve"> and are to spend on items they would want/or particularly use. </w:t>
            </w:r>
          </w:p>
          <w:p w14:paraId="65473407" w14:textId="30E95FBB" w:rsidR="00DB24D3" w:rsidRDefault="002E297F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are encouraged to work together. </w:t>
            </w:r>
          </w:p>
          <w:p w14:paraId="040A4CE6" w14:textId="07B31A1C" w:rsidR="002E297F" w:rsidRDefault="002E297F" w:rsidP="002E297F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74518042" w14:textId="0A835BD1" w:rsidR="002E297F" w:rsidRDefault="002E297F" w:rsidP="002E297F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*T explicitly states that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need to buy more than 5 items. </w:t>
            </w:r>
          </w:p>
          <w:p w14:paraId="6C660BB5" w14:textId="65F01018" w:rsidR="00893E24" w:rsidRDefault="00893E24" w:rsidP="00893E24">
            <w:pPr>
              <w:pStyle w:val="BodyText"/>
              <w:numPr>
                <w:ilvl w:val="0"/>
                <w:numId w:val="20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Encourage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to buy more than one of the same item (multiplication).</w:t>
            </w:r>
          </w:p>
          <w:p w14:paraId="380DD70C" w14:textId="4DC66719" w:rsidR="002E297F" w:rsidRDefault="002E297F" w:rsidP="002E297F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*Incorporation of multiplication/division is representative through quantity purchases of items. </w:t>
            </w:r>
            <w:r w:rsidR="000867B8">
              <w:rPr>
                <w:rFonts w:ascii="Cambria" w:hAnsi="Cambria"/>
                <w:sz w:val="21"/>
                <w:szCs w:val="21"/>
              </w:rPr>
              <w:t>Other operations (addition/subtraction) will also be present.</w:t>
            </w:r>
          </w:p>
          <w:p w14:paraId="23AFCD7F" w14:textId="4F5F2402" w:rsidR="000867B8" w:rsidRDefault="000867B8" w:rsidP="002E297F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lastRenderedPageBreak/>
              <w:t xml:space="preserve">*Price figures will also be placed around the room.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can choose to ‘purchase’ these items also.</w:t>
            </w:r>
          </w:p>
          <w:p w14:paraId="62CB756F" w14:textId="0FF551B9" w:rsidR="002E297F" w:rsidRDefault="002E297F" w:rsidP="002E297F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5E8F9279" w14:textId="7B51C1C3" w:rsidR="002E297F" w:rsidRPr="002E297F" w:rsidRDefault="002E297F" w:rsidP="002E297F">
            <w:pPr>
              <w:pStyle w:val="BodyText"/>
              <w:jc w:val="both"/>
              <w:rPr>
                <w:rFonts w:ascii="Cambria" w:hAnsi="Cambria"/>
                <w:b/>
                <w:sz w:val="21"/>
                <w:szCs w:val="21"/>
                <w:u w:val="single"/>
              </w:rPr>
            </w:pPr>
            <w:r w:rsidRPr="002E297F">
              <w:rPr>
                <w:rFonts w:ascii="Cambria" w:hAnsi="Cambria"/>
                <w:b/>
                <w:sz w:val="21"/>
                <w:szCs w:val="21"/>
                <w:u w:val="single"/>
              </w:rPr>
              <w:t>Extension</w:t>
            </w:r>
          </w:p>
          <w:p w14:paraId="3E1D67A6" w14:textId="527FF024" w:rsidR="002E297F" w:rsidRDefault="000867B8" w:rsidP="000867B8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Change the budget/or add more item categories</w:t>
            </w:r>
          </w:p>
          <w:p w14:paraId="63BAA8B3" w14:textId="02AB3443" w:rsidR="002E297F" w:rsidRPr="000867B8" w:rsidRDefault="002E297F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 w:rsidRPr="000867B8">
              <w:rPr>
                <w:rFonts w:ascii="Cambria" w:hAnsi="Cambria"/>
                <w:sz w:val="21"/>
                <w:szCs w:val="21"/>
              </w:rPr>
              <w:t>Multiplication/Division word problems</w:t>
            </w:r>
          </w:p>
        </w:tc>
        <w:tc>
          <w:tcPr>
            <w:tcW w:w="3447" w:type="dxa"/>
          </w:tcPr>
          <w:p w14:paraId="73DF510B" w14:textId="719AF424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08C4B481" w14:textId="77777777" w:rsidR="008168CC" w:rsidRDefault="002E297F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Microsoft PowerPoint</w:t>
            </w:r>
          </w:p>
          <w:p w14:paraId="42795793" w14:textId="77777777" w:rsidR="002E297F" w:rsidRDefault="002E297F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Receipt template</w:t>
            </w:r>
          </w:p>
          <w:p w14:paraId="64B4A584" w14:textId="40F70C6A" w:rsidR="002E297F" w:rsidRDefault="002E297F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‘Shopping lists’</w:t>
            </w:r>
          </w:p>
          <w:p w14:paraId="60A422D6" w14:textId="6C977AB0" w:rsidR="00A76636" w:rsidRDefault="00A76636" w:rsidP="002E297F">
            <w:pPr>
              <w:pStyle w:val="BodyText"/>
              <w:numPr>
                <w:ilvl w:val="0"/>
                <w:numId w:val="12"/>
              </w:num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Party list</w:t>
            </w:r>
          </w:p>
          <w:p w14:paraId="012EDBC0" w14:textId="77777777" w:rsidR="002E297F" w:rsidRDefault="002E297F" w:rsidP="000867B8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1564494D" w14:textId="77777777" w:rsidR="000867B8" w:rsidRDefault="000867B8" w:rsidP="000867B8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Class Dojo</w:t>
            </w:r>
          </w:p>
          <w:p w14:paraId="654AE0BB" w14:textId="21B3ADD2" w:rsidR="000867B8" w:rsidRPr="002E297F" w:rsidRDefault="000867B8" w:rsidP="000867B8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Raffle Tickets</w:t>
            </w:r>
          </w:p>
        </w:tc>
      </w:tr>
      <w:tr w:rsidR="00994F87" w:rsidRPr="008168CC" w14:paraId="18CC9D9B" w14:textId="77777777" w:rsidTr="004D1479">
        <w:tc>
          <w:tcPr>
            <w:tcW w:w="14371" w:type="dxa"/>
            <w:gridSpan w:val="4"/>
            <w:shd w:val="clear" w:color="auto" w:fill="D9D9D9"/>
          </w:tcPr>
          <w:p w14:paraId="7A473517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8168CC">
              <w:rPr>
                <w:rFonts w:ascii="Cambria" w:hAnsi="Cambria"/>
                <w:b/>
                <w:sz w:val="21"/>
                <w:szCs w:val="21"/>
              </w:rPr>
              <w:t>CLOSURE</w:t>
            </w:r>
          </w:p>
        </w:tc>
      </w:tr>
      <w:tr w:rsidR="00994F87" w:rsidRPr="008168CC" w14:paraId="657EE09C" w14:textId="77777777" w:rsidTr="002E297F">
        <w:tc>
          <w:tcPr>
            <w:tcW w:w="3528" w:type="dxa"/>
          </w:tcPr>
          <w:p w14:paraId="7CC70CA9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07867DEB" w14:textId="52C4D399" w:rsidR="00994F87" w:rsidRPr="008168CC" w:rsidRDefault="000867B8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T and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share learning achievements. </w:t>
            </w:r>
            <w:r w:rsidR="004C153C" w:rsidRPr="008168CC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4D99508D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0DB40333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DEB6410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5A6A9DEA" w14:textId="12C89D48" w:rsidR="00994F87" w:rsidRPr="008168CC" w:rsidRDefault="000867B8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5</w:t>
            </w:r>
            <w:r w:rsidR="00994F87" w:rsidRPr="008168CC">
              <w:rPr>
                <w:rFonts w:ascii="Cambria" w:hAnsi="Cambria"/>
                <w:sz w:val="21"/>
                <w:szCs w:val="21"/>
              </w:rPr>
              <w:t xml:space="preserve"> min </w:t>
            </w:r>
          </w:p>
        </w:tc>
        <w:tc>
          <w:tcPr>
            <w:tcW w:w="6226" w:type="dxa"/>
          </w:tcPr>
          <w:p w14:paraId="47390D9F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5474E051" w14:textId="3F88C7C0" w:rsidR="004C153C" w:rsidRDefault="000867B8" w:rsidP="004C153C">
            <w:pPr>
              <w:pStyle w:val="BodyText"/>
              <w:jc w:val="both"/>
              <w:rPr>
                <w:rFonts w:ascii="Cambria" w:hAnsi="Cambria"/>
                <w:sz w:val="21"/>
                <w:szCs w:val="21"/>
                <w:u w:val="single"/>
              </w:rPr>
            </w:pPr>
            <w:r w:rsidRPr="000867B8">
              <w:rPr>
                <w:rFonts w:ascii="Cambria" w:hAnsi="Cambria"/>
                <w:sz w:val="21"/>
                <w:szCs w:val="21"/>
                <w:u w:val="single"/>
              </w:rPr>
              <w:t>Reflection</w:t>
            </w:r>
            <w:r w:rsidR="00893E24">
              <w:rPr>
                <w:rFonts w:ascii="Cambria" w:hAnsi="Cambria"/>
                <w:sz w:val="21"/>
                <w:szCs w:val="21"/>
                <w:u w:val="single"/>
              </w:rPr>
              <w:t xml:space="preserve"> – Look once, look twice, look again. </w:t>
            </w:r>
          </w:p>
          <w:p w14:paraId="6F3D1449" w14:textId="15402EA8" w:rsidR="000867B8" w:rsidRDefault="000867B8" w:rsidP="004C153C">
            <w:pPr>
              <w:pStyle w:val="BodyText"/>
              <w:jc w:val="both"/>
              <w:rPr>
                <w:rFonts w:ascii="Cambria" w:hAnsi="Cambria"/>
                <w:sz w:val="21"/>
                <w:szCs w:val="21"/>
                <w:u w:val="single"/>
              </w:rPr>
            </w:pPr>
          </w:p>
          <w:p w14:paraId="5A4A9981" w14:textId="003CC605" w:rsidR="000867B8" w:rsidRDefault="00893E24" w:rsidP="004C153C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Look at my learning…</w:t>
            </w:r>
          </w:p>
          <w:p w14:paraId="1C4DE411" w14:textId="6ADFD70D" w:rsidR="00893E24" w:rsidRDefault="00893E24" w:rsidP="004C153C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Look ahead…</w:t>
            </w:r>
          </w:p>
          <w:p w14:paraId="170BCE14" w14:textId="3921A1FE" w:rsidR="00893E24" w:rsidRPr="00893E24" w:rsidRDefault="00893E24" w:rsidP="004C153C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Look at my thinking…</w:t>
            </w:r>
          </w:p>
          <w:p w14:paraId="6080FB06" w14:textId="77777777" w:rsidR="000867B8" w:rsidRDefault="000867B8" w:rsidP="004C153C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560D5A1F" w14:textId="22CE5433" w:rsidR="000867B8" w:rsidRPr="008168CC" w:rsidRDefault="000867B8" w:rsidP="004C153C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447" w:type="dxa"/>
          </w:tcPr>
          <w:p w14:paraId="59474541" w14:textId="0B2F6021" w:rsidR="00994F87" w:rsidRPr="008168CC" w:rsidRDefault="00893E24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Microsoft PowerPoint</w:t>
            </w:r>
          </w:p>
          <w:p w14:paraId="3F772930" w14:textId="77777777" w:rsidR="008168CC" w:rsidRDefault="008168CC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5973E6E9" w14:textId="77777777" w:rsidR="008168CC" w:rsidRPr="008168CC" w:rsidRDefault="008168CC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*Assessment checklist</w:t>
            </w:r>
          </w:p>
          <w:p w14:paraId="30362F87" w14:textId="77777777" w:rsidR="000867B8" w:rsidRDefault="008168CC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8168CC">
              <w:rPr>
                <w:rFonts w:ascii="Cambria" w:hAnsi="Cambria"/>
                <w:sz w:val="21"/>
                <w:szCs w:val="21"/>
              </w:rPr>
              <w:t>Ss</w:t>
            </w:r>
            <w:proofErr w:type="spellEnd"/>
            <w:r w:rsidRPr="008168CC">
              <w:rPr>
                <w:rFonts w:ascii="Cambria" w:hAnsi="Cambria"/>
                <w:sz w:val="21"/>
                <w:szCs w:val="21"/>
              </w:rPr>
              <w:t xml:space="preserve"> sit at the floor</w:t>
            </w:r>
            <w:r w:rsidR="000867B8">
              <w:rPr>
                <w:rFonts w:ascii="Cambria" w:hAnsi="Cambria"/>
                <w:sz w:val="21"/>
                <w:szCs w:val="21"/>
              </w:rPr>
              <w:t>.</w:t>
            </w:r>
          </w:p>
          <w:p w14:paraId="4C4910B0" w14:textId="77777777" w:rsidR="000867B8" w:rsidRDefault="000867B8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41BE74B3" w14:textId="77777777" w:rsidR="000867B8" w:rsidRDefault="000867B8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Class Dojo</w:t>
            </w:r>
          </w:p>
          <w:p w14:paraId="4E6E55A1" w14:textId="28512FDF" w:rsidR="008168CC" w:rsidRPr="008168CC" w:rsidRDefault="000867B8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Raffle Tickets</w:t>
            </w:r>
            <w:r w:rsidR="008168CC" w:rsidRPr="008168CC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6B6A3BA4" w14:textId="77777777" w:rsidR="00994F87" w:rsidRPr="008168CC" w:rsidRDefault="00994F87" w:rsidP="004D1479">
            <w:pPr>
              <w:pStyle w:val="BodyText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4F7BBF60" w14:textId="77777777" w:rsidR="00994F87" w:rsidRPr="008168CC" w:rsidRDefault="00994F87" w:rsidP="00994F87">
      <w:pPr>
        <w:pStyle w:val="BodyText"/>
        <w:jc w:val="both"/>
        <w:rPr>
          <w:rFonts w:ascii="Cambria" w:hAnsi="Cambria"/>
          <w:b/>
          <w:sz w:val="21"/>
          <w:szCs w:val="21"/>
        </w:rPr>
        <w:sectPr w:rsidR="00994F87" w:rsidRPr="008168CC" w:rsidSect="004D1479">
          <w:pgSz w:w="15840" w:h="12240" w:orient="landscape" w:code="1"/>
          <w:pgMar w:top="1134" w:right="851" w:bottom="1134" w:left="851" w:header="720" w:footer="720" w:gutter="0"/>
          <w:cols w:space="720"/>
        </w:sectPr>
      </w:pPr>
    </w:p>
    <w:p w14:paraId="46DA4AF3" w14:textId="77777777" w:rsidR="006002D1" w:rsidRPr="00695AF0" w:rsidRDefault="006002D1" w:rsidP="006002D1">
      <w:pPr>
        <w:pStyle w:val="BodyText"/>
        <w:jc w:val="both"/>
        <w:rPr>
          <w:rFonts w:ascii="Arial" w:hAnsi="Arial"/>
          <w:b/>
          <w:sz w:val="24"/>
          <w:szCs w:val="24"/>
        </w:rPr>
      </w:pPr>
      <w:r w:rsidRPr="0047478F">
        <w:rPr>
          <w:rFonts w:ascii="Arial" w:hAnsi="Arial"/>
          <w:b/>
          <w:sz w:val="24"/>
          <w:szCs w:val="24"/>
          <w:u w:val="single"/>
        </w:rPr>
        <w:lastRenderedPageBreak/>
        <w:t>Student Teacher’s Evaluation</w:t>
      </w:r>
      <w:r w:rsidRPr="00695AF0">
        <w:rPr>
          <w:rFonts w:ascii="Arial" w:hAnsi="Arial"/>
          <w:sz w:val="24"/>
          <w:szCs w:val="24"/>
        </w:rPr>
        <w:t xml:space="preserve"> </w:t>
      </w:r>
      <w:r w:rsidRPr="0047478F">
        <w:rPr>
          <w:rFonts w:ascii="Arial" w:hAnsi="Arial"/>
          <w:i/>
          <w:sz w:val="20"/>
        </w:rPr>
        <w:t>(write reflections on the following):</w:t>
      </w:r>
    </w:p>
    <w:p w14:paraId="3F7A2EE2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4D656F70" w14:textId="77777777" w:rsidR="006002D1" w:rsidRPr="000B20F5" w:rsidRDefault="006002D1" w:rsidP="006002D1">
      <w:pPr>
        <w:pStyle w:val="BodyText"/>
        <w:jc w:val="both"/>
        <w:rPr>
          <w:rFonts w:ascii="Arial" w:hAnsi="Arial"/>
          <w:b/>
          <w:i/>
          <w:sz w:val="24"/>
          <w:szCs w:val="24"/>
        </w:rPr>
      </w:pPr>
      <w:r w:rsidRPr="000B20F5">
        <w:rPr>
          <w:rFonts w:ascii="Arial" w:hAnsi="Arial"/>
          <w:b/>
          <w:i/>
          <w:sz w:val="24"/>
          <w:szCs w:val="24"/>
        </w:rPr>
        <w:t>Assessment of Learning Outcomes</w:t>
      </w:r>
    </w:p>
    <w:p w14:paraId="477105A3" w14:textId="77777777" w:rsidR="006002D1" w:rsidRPr="00BB6EBB" w:rsidRDefault="006002D1" w:rsidP="006002D1">
      <w:pPr>
        <w:pStyle w:val="BodyText"/>
        <w:spacing w:before="120"/>
        <w:jc w:val="both"/>
        <w:rPr>
          <w:rFonts w:ascii="Arial" w:hAnsi="Arial"/>
          <w:sz w:val="20"/>
          <w:u w:val="single"/>
        </w:rPr>
      </w:pPr>
      <w:r w:rsidRPr="00BB6EBB">
        <w:rPr>
          <w:rFonts w:ascii="Arial" w:hAnsi="Arial"/>
          <w:sz w:val="20"/>
          <w:u w:val="single"/>
        </w:rPr>
        <w:t>To what extent did the learners achieve the intended learning outcomes?</w:t>
      </w:r>
    </w:p>
    <w:p w14:paraId="55F211E9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42A5ED5D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728FDAD4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3CAF340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6BE29804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  <w:r w:rsidRPr="00BB6EBB">
        <w:rPr>
          <w:rFonts w:ascii="Arial" w:hAnsi="Arial"/>
          <w:sz w:val="20"/>
          <w:u w:val="single"/>
        </w:rPr>
        <w:t>Describe the evidence you have for this.</w:t>
      </w:r>
    </w:p>
    <w:p w14:paraId="6EEED360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</w:p>
    <w:p w14:paraId="5B3008E1" w14:textId="77777777" w:rsidR="006002D1" w:rsidRDefault="006002D1" w:rsidP="006002D1">
      <w:pPr>
        <w:pStyle w:val="BodyText"/>
        <w:jc w:val="both"/>
        <w:rPr>
          <w:rFonts w:ascii="Arial" w:hAnsi="Arial"/>
          <w:i/>
          <w:sz w:val="20"/>
        </w:rPr>
      </w:pPr>
    </w:p>
    <w:p w14:paraId="5CD17515" w14:textId="77777777" w:rsidR="006002D1" w:rsidRDefault="006002D1" w:rsidP="006002D1">
      <w:pPr>
        <w:pStyle w:val="BodyText"/>
        <w:jc w:val="both"/>
        <w:rPr>
          <w:rFonts w:ascii="Arial" w:hAnsi="Arial"/>
          <w:i/>
          <w:sz w:val="20"/>
        </w:rPr>
      </w:pPr>
    </w:p>
    <w:p w14:paraId="6A857C32" w14:textId="77777777" w:rsidR="006002D1" w:rsidRPr="00BB6EBB" w:rsidRDefault="006002D1" w:rsidP="006002D1">
      <w:pPr>
        <w:pStyle w:val="BodyText"/>
        <w:jc w:val="both"/>
        <w:rPr>
          <w:rFonts w:ascii="Arial" w:hAnsi="Arial"/>
          <w:i/>
          <w:sz w:val="20"/>
        </w:rPr>
      </w:pPr>
    </w:p>
    <w:p w14:paraId="1DFA74A4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2C596F54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  <w:r w:rsidRPr="00BB6EBB">
        <w:rPr>
          <w:rFonts w:ascii="Arial" w:hAnsi="Arial"/>
          <w:sz w:val="20"/>
          <w:u w:val="single"/>
        </w:rPr>
        <w:t>Outline the follow-up to this lesson for the</w:t>
      </w:r>
      <w:r w:rsidRPr="00BB6EBB">
        <w:rPr>
          <w:rFonts w:ascii="Arial" w:hAnsi="Arial"/>
          <w:i/>
          <w:sz w:val="20"/>
          <w:u w:val="single"/>
        </w:rPr>
        <w:t xml:space="preserve"> </w:t>
      </w:r>
      <w:r w:rsidRPr="00BB6EBB">
        <w:rPr>
          <w:rFonts w:ascii="Arial" w:hAnsi="Arial"/>
          <w:b/>
          <w:sz w:val="20"/>
          <w:u w:val="single"/>
        </w:rPr>
        <w:t>learners.</w:t>
      </w:r>
    </w:p>
    <w:p w14:paraId="7E10A262" w14:textId="77777777" w:rsidR="006002D1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</w:p>
    <w:p w14:paraId="5F3284A2" w14:textId="77777777" w:rsidR="006002D1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</w:p>
    <w:p w14:paraId="30171E95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</w:p>
    <w:p w14:paraId="01FD0AE8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6398126A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</w:t>
      </w:r>
    </w:p>
    <w:p w14:paraId="5C0745D3" w14:textId="77777777" w:rsidR="006002D1" w:rsidRPr="000B20F5" w:rsidRDefault="006002D1" w:rsidP="006002D1">
      <w:pPr>
        <w:pStyle w:val="BodyText"/>
        <w:jc w:val="both"/>
        <w:rPr>
          <w:rFonts w:ascii="Arial" w:hAnsi="Arial"/>
          <w:b/>
          <w:i/>
          <w:sz w:val="24"/>
          <w:szCs w:val="24"/>
        </w:rPr>
      </w:pPr>
      <w:r w:rsidRPr="000B20F5">
        <w:rPr>
          <w:rFonts w:ascii="Arial" w:hAnsi="Arial"/>
          <w:b/>
          <w:i/>
          <w:sz w:val="24"/>
          <w:szCs w:val="24"/>
        </w:rPr>
        <w:t>Evaluation of Teaching</w:t>
      </w:r>
    </w:p>
    <w:p w14:paraId="1E0E8DEA" w14:textId="77777777" w:rsidR="006002D1" w:rsidRDefault="006002D1" w:rsidP="006002D1">
      <w:pPr>
        <w:pStyle w:val="BodyText"/>
        <w:spacing w:before="120"/>
        <w:jc w:val="both"/>
        <w:rPr>
          <w:rFonts w:ascii="Arial" w:hAnsi="Arial"/>
          <w:sz w:val="20"/>
        </w:rPr>
      </w:pPr>
      <w:r w:rsidRPr="00BB6EBB">
        <w:rPr>
          <w:rFonts w:ascii="Arial" w:hAnsi="Arial"/>
          <w:sz w:val="20"/>
          <w:u w:val="single"/>
        </w:rPr>
        <w:t xml:space="preserve">Identify the teaching strategies / learning experiences that were </w:t>
      </w:r>
      <w:r w:rsidRPr="00BB6EBB">
        <w:rPr>
          <w:rFonts w:ascii="Arial" w:hAnsi="Arial"/>
          <w:b/>
          <w:sz w:val="20"/>
          <w:u w:val="single"/>
        </w:rPr>
        <w:t xml:space="preserve">most </w:t>
      </w:r>
      <w:r w:rsidRPr="00BB6EBB">
        <w:rPr>
          <w:rFonts w:ascii="Arial" w:hAnsi="Arial"/>
          <w:sz w:val="20"/>
          <w:u w:val="single"/>
        </w:rPr>
        <w:t>effective. Explain why</w:t>
      </w:r>
      <w:r>
        <w:rPr>
          <w:rFonts w:ascii="Arial" w:hAnsi="Arial"/>
          <w:sz w:val="20"/>
        </w:rPr>
        <w:t>.</w:t>
      </w:r>
    </w:p>
    <w:p w14:paraId="2F6710D1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FFCEE5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4550D706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4955E356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7EFF3221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F331EAA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  <w:r w:rsidRPr="00BB6EBB">
        <w:rPr>
          <w:rFonts w:ascii="Arial" w:hAnsi="Arial"/>
          <w:sz w:val="20"/>
          <w:u w:val="single"/>
        </w:rPr>
        <w:t xml:space="preserve">Identify the teaching strategies / learning experiences that were </w:t>
      </w:r>
      <w:r w:rsidRPr="00BB6EBB">
        <w:rPr>
          <w:rFonts w:ascii="Arial" w:hAnsi="Arial"/>
          <w:b/>
          <w:sz w:val="20"/>
          <w:u w:val="single"/>
        </w:rPr>
        <w:t>least</w:t>
      </w:r>
      <w:r w:rsidRPr="00BB6EBB">
        <w:rPr>
          <w:rFonts w:ascii="Arial" w:hAnsi="Arial"/>
          <w:sz w:val="20"/>
          <w:u w:val="single"/>
        </w:rPr>
        <w:t xml:space="preserve"> effective. Explain why.</w:t>
      </w:r>
    </w:p>
    <w:p w14:paraId="072C3135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456882BD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556C673F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3AC1CCE1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37DDAA48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  <w:r w:rsidRPr="00BB6EBB">
        <w:rPr>
          <w:rFonts w:ascii="Arial" w:hAnsi="Arial"/>
          <w:sz w:val="20"/>
          <w:u w:val="single"/>
        </w:rPr>
        <w:t>How appropriate was the timing throughout the various sections of the lesson? Why?</w:t>
      </w:r>
    </w:p>
    <w:p w14:paraId="4DDA5E21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4D59E6E3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0CFB7693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26008C4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7E12D722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  <w:r w:rsidRPr="00BB6EBB">
        <w:rPr>
          <w:rFonts w:ascii="Arial" w:hAnsi="Arial"/>
          <w:sz w:val="20"/>
          <w:u w:val="single"/>
        </w:rPr>
        <w:t>Describe how the selection and use of resources supported learning in the lesson.</w:t>
      </w:r>
    </w:p>
    <w:p w14:paraId="33D434E7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6EFE5E01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2F692F45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71473AE9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  <w:r w:rsidRPr="00BB6EBB">
        <w:rPr>
          <w:rFonts w:ascii="Arial" w:hAnsi="Arial"/>
          <w:sz w:val="20"/>
          <w:u w:val="single"/>
        </w:rPr>
        <w:t>Identify what motivated the students. Explain why.</w:t>
      </w:r>
    </w:p>
    <w:p w14:paraId="54ABFC79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6501834C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0616F68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39FCF69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388D766B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  <w:r w:rsidRPr="00BB6EBB">
        <w:rPr>
          <w:rFonts w:ascii="Arial" w:hAnsi="Arial"/>
          <w:sz w:val="20"/>
          <w:u w:val="single"/>
        </w:rPr>
        <w:t xml:space="preserve">Identify the classroom management strategies that were </w:t>
      </w:r>
      <w:r w:rsidRPr="00BB6EBB">
        <w:rPr>
          <w:rFonts w:ascii="Arial" w:hAnsi="Arial"/>
          <w:b/>
          <w:sz w:val="20"/>
          <w:u w:val="single"/>
        </w:rPr>
        <w:t>most</w:t>
      </w:r>
      <w:r w:rsidRPr="00BB6EBB">
        <w:rPr>
          <w:rFonts w:ascii="Arial" w:hAnsi="Arial"/>
          <w:sz w:val="20"/>
          <w:u w:val="single"/>
        </w:rPr>
        <w:t xml:space="preserve"> effective. Explain why.</w:t>
      </w:r>
    </w:p>
    <w:p w14:paraId="2604C61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2030CE7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0B6E01E7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64BBDC2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72BB6FD9" w14:textId="77777777" w:rsidR="006002D1" w:rsidRPr="00BB6EBB" w:rsidRDefault="006002D1" w:rsidP="006002D1">
      <w:pPr>
        <w:pStyle w:val="BodyText"/>
        <w:jc w:val="both"/>
        <w:rPr>
          <w:rFonts w:ascii="Arial" w:hAnsi="Arial"/>
          <w:sz w:val="20"/>
          <w:u w:val="single"/>
        </w:rPr>
      </w:pPr>
      <w:r w:rsidRPr="00BB6EBB">
        <w:rPr>
          <w:rFonts w:ascii="Arial" w:hAnsi="Arial"/>
          <w:sz w:val="20"/>
          <w:u w:val="single"/>
        </w:rPr>
        <w:t>What was most satisfying about the lesson?</w:t>
      </w:r>
    </w:p>
    <w:p w14:paraId="1BBED6C3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0341C54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0D3A888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994FC1D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65F76158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  <w:r w:rsidRPr="00A97D41">
        <w:rPr>
          <w:rFonts w:ascii="Arial" w:hAnsi="Arial"/>
          <w:sz w:val="20"/>
          <w:u w:val="single"/>
        </w:rPr>
        <w:t>Based on these reflections, outline the steps you should now take to improve your teaching in future lessons</w:t>
      </w:r>
      <w:r>
        <w:rPr>
          <w:rFonts w:ascii="Arial" w:hAnsi="Arial"/>
          <w:sz w:val="20"/>
        </w:rPr>
        <w:t>.</w:t>
      </w:r>
    </w:p>
    <w:p w14:paraId="3E82CEAB" w14:textId="13169FA6" w:rsidR="006002D1" w:rsidRPr="00D54F61" w:rsidRDefault="006002D1" w:rsidP="006002D1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4"/>
          <w:szCs w:val="24"/>
        </w:rPr>
        <w:lastRenderedPageBreak/>
        <w:t>C</w:t>
      </w:r>
      <w:r w:rsidRPr="0047478F">
        <w:rPr>
          <w:rFonts w:ascii="Arial" w:hAnsi="Arial"/>
          <w:b/>
          <w:sz w:val="24"/>
          <w:szCs w:val="24"/>
        </w:rPr>
        <w:t>olleague teacher’s comments: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 xml:space="preserve">(Reference could be made, for example, to planning and preparation, knowledge of curriculum, </w:t>
      </w:r>
      <w:proofErr w:type="spellStart"/>
      <w:r>
        <w:rPr>
          <w:rFonts w:ascii="Arial" w:hAnsi="Arial"/>
          <w:sz w:val="20"/>
        </w:rPr>
        <w:t>organisation</w:t>
      </w:r>
      <w:proofErr w:type="spellEnd"/>
      <w:r>
        <w:rPr>
          <w:rFonts w:ascii="Arial" w:hAnsi="Arial"/>
          <w:sz w:val="20"/>
        </w:rPr>
        <w:t>, motivation of pupils, strategies used, interaction with students, classroom management, catering for individual needs, use of resources, etc.)</w:t>
      </w:r>
    </w:p>
    <w:p w14:paraId="3B3F5129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07195FF9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73839145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968FEA7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6BFE066F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0B49D241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2A13B9E4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51CF3519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534CEAF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25E9D7CF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708D793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4942DEC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2569FB06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6DCFD085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587F791F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2D568F60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6CC72C0A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2FF1777E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5D81D9FD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5994A81C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370214E9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65E90735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37C670E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52E6BA17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787DF292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2CFD2AA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49D16E8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028A9979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1A2E7BAB" w14:textId="77777777" w:rsidR="006002D1" w:rsidRDefault="006002D1" w:rsidP="006002D1">
      <w:pPr>
        <w:pStyle w:val="BodyText"/>
        <w:jc w:val="both"/>
        <w:rPr>
          <w:rFonts w:ascii="Arial" w:hAnsi="Arial"/>
          <w:sz w:val="20"/>
        </w:rPr>
      </w:pPr>
    </w:p>
    <w:p w14:paraId="37544C7F" w14:textId="77777777" w:rsidR="006002D1" w:rsidRDefault="006002D1" w:rsidP="006002D1">
      <w:pPr>
        <w:pStyle w:val="BodyText"/>
        <w:jc w:val="both"/>
        <w:rPr>
          <w:b/>
        </w:rPr>
      </w:pPr>
    </w:p>
    <w:p w14:paraId="380786E5" w14:textId="77777777" w:rsidR="006002D1" w:rsidRDefault="006002D1" w:rsidP="006002D1">
      <w:pPr>
        <w:pStyle w:val="BodyText"/>
        <w:jc w:val="both"/>
        <w:rPr>
          <w:b/>
        </w:rPr>
      </w:pPr>
    </w:p>
    <w:p w14:paraId="13CEC21B" w14:textId="77777777" w:rsidR="006002D1" w:rsidRDefault="006002D1" w:rsidP="006002D1">
      <w:pPr>
        <w:pStyle w:val="BodyText"/>
        <w:jc w:val="both"/>
        <w:rPr>
          <w:b/>
        </w:rPr>
      </w:pPr>
    </w:p>
    <w:p w14:paraId="7DF94126" w14:textId="77777777" w:rsidR="006002D1" w:rsidRDefault="006002D1" w:rsidP="006002D1">
      <w:pPr>
        <w:pStyle w:val="BodyText"/>
        <w:jc w:val="both"/>
        <w:rPr>
          <w:b/>
        </w:rPr>
      </w:pPr>
    </w:p>
    <w:p w14:paraId="5E45499C" w14:textId="77777777" w:rsidR="006002D1" w:rsidRDefault="006002D1" w:rsidP="006002D1">
      <w:pPr>
        <w:pStyle w:val="BodyText"/>
        <w:spacing w:line="360" w:lineRule="auto"/>
        <w:jc w:val="both"/>
        <w:rPr>
          <w:rFonts w:ascii="Arial" w:hAnsi="Arial"/>
        </w:rPr>
      </w:pPr>
    </w:p>
    <w:p w14:paraId="5969A5A2" w14:textId="77777777" w:rsidR="00794AAC" w:rsidRPr="008168CC" w:rsidRDefault="00794AAC">
      <w:pPr>
        <w:rPr>
          <w:rFonts w:ascii="Cambria" w:hAnsi="Cambria"/>
          <w:sz w:val="21"/>
          <w:szCs w:val="21"/>
        </w:rPr>
      </w:pPr>
    </w:p>
    <w:sectPr w:rsidR="00794AAC" w:rsidRPr="008168CC" w:rsidSect="00DD624C">
      <w:pgSz w:w="12240" w:h="15840" w:code="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C3D"/>
    <w:multiLevelType w:val="hybridMultilevel"/>
    <w:tmpl w:val="1700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9D9"/>
    <w:multiLevelType w:val="hybridMultilevel"/>
    <w:tmpl w:val="F9E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2A0A"/>
    <w:multiLevelType w:val="hybridMultilevel"/>
    <w:tmpl w:val="1190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1F5F"/>
    <w:multiLevelType w:val="hybridMultilevel"/>
    <w:tmpl w:val="6D7E1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4CBA"/>
    <w:multiLevelType w:val="hybridMultilevel"/>
    <w:tmpl w:val="6B200756"/>
    <w:lvl w:ilvl="0" w:tplc="74927DEC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3898"/>
    <w:multiLevelType w:val="hybridMultilevel"/>
    <w:tmpl w:val="5C9C217E"/>
    <w:lvl w:ilvl="0" w:tplc="74927DEC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F62BA4"/>
    <w:multiLevelType w:val="hybridMultilevel"/>
    <w:tmpl w:val="EB32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210"/>
    <w:multiLevelType w:val="hybridMultilevel"/>
    <w:tmpl w:val="29B2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C6197"/>
    <w:multiLevelType w:val="hybridMultilevel"/>
    <w:tmpl w:val="966E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060E9"/>
    <w:multiLevelType w:val="hybridMultilevel"/>
    <w:tmpl w:val="849A949A"/>
    <w:lvl w:ilvl="0" w:tplc="E73C9164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274D2"/>
    <w:multiLevelType w:val="hybridMultilevel"/>
    <w:tmpl w:val="9DC2CD4C"/>
    <w:lvl w:ilvl="0" w:tplc="00A2946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9448B"/>
    <w:multiLevelType w:val="hybridMultilevel"/>
    <w:tmpl w:val="9734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C79A9"/>
    <w:multiLevelType w:val="hybridMultilevel"/>
    <w:tmpl w:val="1F2E84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E26C84"/>
    <w:multiLevelType w:val="multilevel"/>
    <w:tmpl w:val="C8C2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85E21"/>
    <w:multiLevelType w:val="hybridMultilevel"/>
    <w:tmpl w:val="CB20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14AB4"/>
    <w:multiLevelType w:val="hybridMultilevel"/>
    <w:tmpl w:val="226E25A8"/>
    <w:lvl w:ilvl="0" w:tplc="74927DEC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77BFB"/>
    <w:multiLevelType w:val="hybridMultilevel"/>
    <w:tmpl w:val="89B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2633F"/>
    <w:multiLevelType w:val="hybridMultilevel"/>
    <w:tmpl w:val="273E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9308F"/>
    <w:multiLevelType w:val="hybridMultilevel"/>
    <w:tmpl w:val="B56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C3857"/>
    <w:multiLevelType w:val="hybridMultilevel"/>
    <w:tmpl w:val="331AC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6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3"/>
  </w:num>
  <w:num w:numId="15">
    <w:abstractNumId w:val="15"/>
  </w:num>
  <w:num w:numId="16">
    <w:abstractNumId w:val="17"/>
  </w:num>
  <w:num w:numId="17">
    <w:abstractNumId w:val="0"/>
  </w:num>
  <w:num w:numId="18">
    <w:abstractNumId w:val="6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87"/>
    <w:rsid w:val="000867B8"/>
    <w:rsid w:val="000B01E0"/>
    <w:rsid w:val="000F6C87"/>
    <w:rsid w:val="00106728"/>
    <w:rsid w:val="00117BA0"/>
    <w:rsid w:val="001B0C47"/>
    <w:rsid w:val="0022227B"/>
    <w:rsid w:val="002E0F1B"/>
    <w:rsid w:val="002E297F"/>
    <w:rsid w:val="00404182"/>
    <w:rsid w:val="004443D9"/>
    <w:rsid w:val="004C153C"/>
    <w:rsid w:val="004D1479"/>
    <w:rsid w:val="005168FD"/>
    <w:rsid w:val="00542412"/>
    <w:rsid w:val="006002D1"/>
    <w:rsid w:val="006A6393"/>
    <w:rsid w:val="00733B71"/>
    <w:rsid w:val="00794AAC"/>
    <w:rsid w:val="008168CC"/>
    <w:rsid w:val="00893E24"/>
    <w:rsid w:val="008A685D"/>
    <w:rsid w:val="00994F87"/>
    <w:rsid w:val="00A76636"/>
    <w:rsid w:val="00BA7449"/>
    <w:rsid w:val="00C16694"/>
    <w:rsid w:val="00C16BD6"/>
    <w:rsid w:val="00D3497A"/>
    <w:rsid w:val="00DB24D3"/>
    <w:rsid w:val="00E402C8"/>
    <w:rsid w:val="00E805F2"/>
    <w:rsid w:val="00F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4CA41"/>
  <w14:defaultImageDpi w14:val="300"/>
  <w15:docId w15:val="{447923DA-DA02-4337-A8DF-6C149B32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4F87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4F87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4F87"/>
    <w:rPr>
      <w:rFonts w:ascii="Times New Roman" w:eastAsia="Times New Roman" w:hAnsi="Times New Roman" w:cs="Times New Roman"/>
      <w:sz w:val="22"/>
      <w:szCs w:val="20"/>
      <w:lang w:val="en-US" w:eastAsia="en-AU"/>
    </w:rPr>
  </w:style>
  <w:style w:type="table" w:styleId="TableGrid">
    <w:name w:val="Table Grid"/>
    <w:basedOn w:val="TableNormal"/>
    <w:uiPriority w:val="99"/>
    <w:rsid w:val="00994F87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D3"/>
    <w:rPr>
      <w:rFonts w:ascii="Lucida Grande" w:eastAsia="Times New Roman" w:hAnsi="Lucida Grande" w:cs="Lucida Grande"/>
      <w:sz w:val="18"/>
      <w:szCs w:val="18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C16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Dang</dc:creator>
  <cp:keywords/>
  <dc:description/>
  <cp:lastModifiedBy>Vincent Dang</cp:lastModifiedBy>
  <cp:revision>3</cp:revision>
  <dcterms:created xsi:type="dcterms:W3CDTF">2016-11-20T04:26:00Z</dcterms:created>
  <dcterms:modified xsi:type="dcterms:W3CDTF">2016-11-20T06:39:00Z</dcterms:modified>
</cp:coreProperties>
</file>